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ombre"/>
        <w:spacing w:after="40"/>
      </w:pPr>
      <w:r>
        <w:t>ORIANA SERRANO PIÑERO</w:t>
      </w:r>
    </w:p>
    <w:p>
      <w:pPr>
        <w:pStyle w:val="Subtitulo"/>
        <w:spacing w:after="20"/>
      </w:pPr>
      <w:r>
        <w:t>Gerente de Continuidad Operativa · Gestión de Servicios IT (ITSM) · Business Intelligence · Transformación Digital</w:t>
      </w:r>
    </w:p>
    <w:p>
      <w:pPr>
        <w:pStyle w:val="Contacto"/>
        <w:spacing w:after="120"/>
      </w:pPr>
      <w:r>
        <w:t>Caracas, Venezuela · Disponible para trabajo remoto · +58412-398-4004 · oriana.nserrano@gmail.com · linkedin.com/in/orianaserranopiñero</w:t>
      </w:r>
    </w:p>
    <w:p>
      <w:pPr>
        <w:pStyle w:val="Seccion"/>
        <w:spacing w:before="240" w:after="80"/>
      </w:pPr>
      <w:r>
        <w:t>PERFIL PROFESIONAL</w:t>
      </w:r>
    </w:p>
    <w:p>
      <w:pPr>
        <w:pStyle w:val="Cuerpo"/>
        <w:spacing w:after="60"/>
      </w:pPr>
      <w:r>
        <w:t>Gerente de Continuidad Operativa con más de 9 años de experiencia en operaciones IT, gestión de servicios y transformación digital. He liderado el paso de Help Desk a Service Desk estructurado, mejorando en un 85% la percepción del departamento entre las gerencias y en un 60% el tiempo de respuesta. Dirijo la operación tecnológica de un grupo de 6 empresas y 15 sucursales (~365 empleados), con responsabilidad sobre presupuestos OPEX / CAPEX, inventarios y obsolescencia de equipos, y como puerta de calidad: ningún proyecto sale a producción sin mi revisión. Combino visión de negocio y datos (Power BI, Looker Studio, SQL) con capacidad de diseño de producto digital (web y aplicaciones móviles), y aporto formación en Data Science, Inteligencia Artificial y liderazgo.</w:t>
      </w:r>
    </w:p>
    <w:p>
      <w:pPr>
        <w:pStyle w:val="Seccion"/>
        <w:spacing w:before="240" w:after="80"/>
      </w:pPr>
      <w:r>
        <w:t>EXPERIENCIA PROFESIONAL</w:t>
      </w:r>
    </w:p>
    <w:p>
      <w:pPr>
        <w:pStyle w:val="Cargo"/>
        <w:spacing w:before="140" w:after="0"/>
      </w:pPr>
      <w:r>
        <w:t>Gerente de Continuidad Operativa</w:t>
      </w:r>
    </w:p>
    <w:p>
      <w:pPr>
        <w:pStyle w:val="Meta"/>
        <w:spacing w:after="60"/>
      </w:pPr>
      <w:r>
        <w:t>Evenpro Corp (CINEX, Vincenti, Metropolitan, Liveri, Evenpro) · Caracas · Oct. 2025 – Actualidad</w:t>
      </w:r>
    </w:p>
    <w:p>
      <w:pPr>
        <w:pStyle w:val="ListBullet"/>
        <w:spacing w:after="60" w:before="0"/>
      </w:pPr>
      <w:r>
        <w:t>Dirección del departamento de tecnología en ausencia del director, con responsabilidad sobre procesos, políticas y documentación.</w:t>
      </w:r>
    </w:p>
    <w:p>
      <w:pPr>
        <w:pStyle w:val="ListBullet"/>
        <w:spacing w:after="60" w:before="0"/>
      </w:pPr>
      <w:r>
        <w:t>Primera línea de enlace con el equipo de Operaciones, en seguimiento de semana y turno nocturno, para garantizar el funcionamiento de los equipos en cada sala.</w:t>
      </w:r>
    </w:p>
    <w:p>
      <w:pPr>
        <w:pStyle w:val="ListBullet"/>
        <w:spacing w:after="60" w:before="0"/>
      </w:pPr>
      <w:r>
        <w:t>Gestión de inventarios de equipos, medición de obsolescencia y presupuestos anuales OPEX / CAPEX del parque tecnológico.</w:t>
      </w:r>
    </w:p>
    <w:p>
      <w:pPr>
        <w:pStyle w:val="ListBullet"/>
        <w:spacing w:after="60" w:before="0"/>
      </w:pPr>
      <w:r>
        <w:t>Administración de Microsoft 365 y del sistema de facturación VistaCinema, con manejo de sus módulos Head Office y Back Office, además del control de inventario.</w:t>
      </w:r>
    </w:p>
    <w:p>
      <w:pPr>
        <w:pStyle w:val="ListBullet"/>
        <w:spacing w:after="60" w:before="0"/>
      </w:pPr>
      <w:r>
        <w:t>Supervisión directa del departamento de soporte en 6 empresas del grupo: ~365 empleados y 15 sucursales, con equipo directo de 6 técnicos y 4 perfiles de otras áreas de TI.</w:t>
      </w:r>
    </w:p>
    <w:p>
      <w:pPr>
        <w:pStyle w:val="ListBullet"/>
        <w:spacing w:after="60" w:before="0"/>
      </w:pPr>
      <w:r>
        <w:t>Reducción del índice de incidencias web del 78% al 32% de quejas y del tiempo de atención de más de 24 horas a 30 minutos de media.</w:t>
      </w:r>
    </w:p>
    <w:p>
      <w:pPr>
        <w:pStyle w:val="ListBullet"/>
        <w:spacing w:after="60" w:before="0"/>
      </w:pPr>
      <w:r>
        <w:t>Implantación de GLPI como sistema de gestión de tickets y consolidación de Looker Studio como panel único de métricas de negocio e indicadores de TI.</w:t>
      </w:r>
    </w:p>
    <w:p>
      <w:pPr>
        <w:pStyle w:val="ListBullet"/>
        <w:spacing w:after="60" w:before="0"/>
      </w:pPr>
      <w:r>
        <w:t>Diseño y mejora de la experiencia de usuario (UX) en aplicaciones internas, con verificación de fiabilidad mediante pruebas QA.</w:t>
      </w:r>
    </w:p>
    <w:p>
      <w:pPr>
        <w:pStyle w:val="ListBullet"/>
        <w:spacing w:after="60" w:before="0"/>
      </w:pPr>
      <w:r>
        <w:t>Gestión de proyectos de remodelaciones, nuevas aperturas, compras y pagos; visitas a los complejos para garantizar la continuidad operativa.</w:t>
      </w:r>
    </w:p>
    <w:p>
      <w:pPr>
        <w:pStyle w:val="ListBullet"/>
        <w:spacing w:after="60" w:before="0"/>
      </w:pPr>
      <w:r>
        <w:t>Puerta de calidad del área: control de errores y pruebas QA sobre lo desarrollado; ningún proyecto sale a producción sin mi revisión previa.</w:t>
      </w:r>
    </w:p>
    <w:p>
      <w:pPr>
        <w:pStyle w:val="Cargo"/>
        <w:spacing w:before="140" w:after="0"/>
      </w:pPr>
      <w:r>
        <w:t>Coordinador de Soporte Técnico / Service Desk</w:t>
      </w:r>
    </w:p>
    <w:p>
      <w:pPr>
        <w:pStyle w:val="Meta"/>
        <w:spacing w:after="60"/>
      </w:pPr>
      <w:r>
        <w:t>Evenpro Corp (CINEX) · Caracas · Abr. 2025 – Oct. 2025</w:t>
      </w:r>
    </w:p>
    <w:p>
      <w:pPr>
        <w:pStyle w:val="ListBullet"/>
        <w:spacing w:after="60" w:before="0"/>
      </w:pPr>
      <w:r>
        <w:t>Transformación del departamento de un modelo de Help Desk a un Service Desk estructurado, con mejora de la categorización de tickets y del cumplimiento de SLA.</w:t>
      </w:r>
    </w:p>
    <w:p>
      <w:pPr>
        <w:pStyle w:val="ListBullet"/>
        <w:spacing w:after="60" w:before="0"/>
      </w:pPr>
      <w:r>
        <w:t>Aumento del 85% en la reputación y percepción del departamento entre las distintas gerencias de la compañía.</w:t>
      </w:r>
    </w:p>
    <w:p>
      <w:pPr>
        <w:pStyle w:val="ListBullet"/>
        <w:spacing w:after="60" w:before="0"/>
      </w:pPr>
      <w:r>
        <w:t>Incremento del 40% en la continuidad del servicio en los complejos de cine y mejora del 60% en el tiempo de respuesta ante incidentes y solicitudes.</w:t>
      </w:r>
    </w:p>
    <w:p>
      <w:pPr>
        <w:pStyle w:val="ListBullet"/>
        <w:spacing w:after="60" w:before="0"/>
      </w:pPr>
      <w:r>
        <w:t>Consolidación del departamento de soporte para atender a todas las empresas del grupo, ampliando su alcance más allá de la operación original.</w:t>
      </w:r>
    </w:p>
    <w:p>
      <w:pPr>
        <w:pStyle w:val="ListBullet"/>
        <w:spacing w:after="60" w:before="0"/>
      </w:pPr>
      <w:r>
        <w:t>Diseño e implementación de un plan de visitas periódicas a las localidades para garantizar la continuidad del servicio in situ.</w:t>
      </w:r>
    </w:p>
    <w:p>
      <w:pPr>
        <w:pStyle w:val="Cargo"/>
        <w:spacing w:before="140" w:after="0"/>
      </w:pPr>
      <w:r>
        <w:t>Coordinador de Service Desk</w:t>
      </w:r>
    </w:p>
    <w:p>
      <w:pPr>
        <w:pStyle w:val="Meta"/>
        <w:spacing w:after="60"/>
      </w:pPr>
      <w:r>
        <w:t>Tecnología y Servicios JJSC · Cines Unidos · Caracas · Ene. 2025 – Abr. 2025</w:t>
      </w:r>
    </w:p>
    <w:p>
      <w:pPr>
        <w:pStyle w:val="ListBullet"/>
        <w:spacing w:after="60" w:before="0"/>
      </w:pPr>
      <w:r>
        <w:t>Dirección de un equipo de 4 analistas de soporte técnico remoto, con operatividad y disponibilidad de equipos en 20 salas de cine.</w:t>
      </w:r>
    </w:p>
    <w:p>
      <w:pPr>
        <w:pStyle w:val="ListBullet"/>
        <w:spacing w:after="60" w:before="0"/>
      </w:pPr>
      <w:r>
        <w:t>Reducción del 15% en el tiempo promedio de respuesta mediante un sistema de seguimiento diario de incidencias.</w:t>
      </w:r>
    </w:p>
    <w:p>
      <w:pPr>
        <w:pStyle w:val="ListBullet"/>
        <w:spacing w:after="60" w:before="0"/>
      </w:pPr>
      <w:r>
        <w:t>Reducción del 20% de las incidencias repetitivas con liderazgo de procesos de mejora continua.</w:t>
      </w:r>
    </w:p>
    <w:p>
      <w:pPr>
        <w:pStyle w:val="ListBullet"/>
        <w:spacing w:after="60" w:before="0"/>
      </w:pPr>
      <w:r>
        <w:t>Monitoreo de productividad con Looker Studio e informes mensuales para la toma de decisiones estratégicas.</w:t>
      </w:r>
    </w:p>
    <w:p>
      <w:pPr>
        <w:pStyle w:val="ListBullet"/>
        <w:spacing w:after="60" w:before="0"/>
      </w:pPr>
      <w:r>
        <w:t>Gestión de proveedores y acuerdos de servicio con el cliente final, logrando una disponibilidad superior al 95%.</w:t>
      </w:r>
    </w:p>
    <w:p>
      <w:pPr>
        <w:pStyle w:val="Cargo"/>
        <w:spacing w:before="140" w:after="0"/>
      </w:pPr>
      <w:r>
        <w:t>Jefe de Soporte</w:t>
      </w:r>
    </w:p>
    <w:p>
      <w:pPr>
        <w:pStyle w:val="Meta"/>
        <w:spacing w:after="60"/>
      </w:pPr>
      <w:r>
        <w:t>Farmahorro (S.A. Nacional Farmacéutica) · Venezuela · Oct. 2021 – Sept. 2024</w:t>
      </w:r>
    </w:p>
    <w:p>
      <w:pPr>
        <w:pStyle w:val="ListBullet"/>
        <w:spacing w:after="60" w:before="0"/>
      </w:pPr>
      <w:r>
        <w:t>Dirección de un equipo de 10 personas y operación de más de 3.000 tickets al mes en 90 sucursales, el corporativo y Farvenca, con respuestas garantizadas dentro del SLA.</w:t>
      </w:r>
    </w:p>
    <w:p>
      <w:pPr>
        <w:pStyle w:val="ListBullet"/>
        <w:spacing w:after="60" w:before="0"/>
      </w:pPr>
      <w:r>
        <w:t>Aumento del 60% en la resolución de tickets en el primer contacto y reducción del 20% en el tiempo promedio de resolución de incidentes.</w:t>
      </w:r>
    </w:p>
    <w:p>
      <w:pPr>
        <w:pStyle w:val="ListBullet"/>
        <w:spacing w:after="60" w:before="0"/>
      </w:pPr>
      <w:r>
        <w:t>Reducción del 30% en el tiempo de procesamiento con la migración del sistema de facturación y del 70% en la espera del cliente con la implementación de Megasoft.</w:t>
      </w:r>
    </w:p>
    <w:p>
      <w:pPr>
        <w:pStyle w:val="ListBullet"/>
        <w:spacing w:after="60" w:before="0"/>
      </w:pPr>
      <w:r>
        <w:t>Mejora del 50% en la facturación mediante gestión de cambio de hardware y reducción de costos del 15% por negociación con proveedores (ahorro del 35% en facturación mensual).</w:t>
      </w:r>
    </w:p>
    <w:p>
      <w:pPr>
        <w:pStyle w:val="ListBullet"/>
        <w:spacing w:after="60" w:before="0"/>
      </w:pPr>
      <w:r>
        <w:t>Implantación de Freshservice como herramienta de gestión de tickets, con trazabilidad y medición de la operación de soporte.</w:t>
      </w:r>
    </w:p>
    <w:p>
      <w:pPr>
        <w:pStyle w:val="ListBullet"/>
        <w:spacing w:after="60" w:before="0"/>
      </w:pPr>
      <w:r>
        <w:t>Dashboards interactivos con Looker Studio y Power BI sobre múltiples orígenes de datos (SQL).</w:t>
      </w:r>
    </w:p>
    <w:p>
      <w:pPr>
        <w:pStyle w:val="ListBullet"/>
        <w:spacing w:after="60" w:before="0"/>
      </w:pPr>
      <w:r>
        <w:t>Viaje al 90% de las localidades en varios estados de Venezuela para levantamientos funcionales y operativos.</w:t>
      </w:r>
    </w:p>
    <w:p>
      <w:pPr>
        <w:pStyle w:val="ListBullet"/>
        <w:spacing w:after="60" w:before="0"/>
      </w:pPr>
      <w:r>
        <w:t>Desarrollo de manuales y capacitaciones; migración a Google Workspace sin interrupción del servicio.</w:t>
      </w:r>
    </w:p>
    <w:p>
      <w:pPr>
        <w:pStyle w:val="ListBullet"/>
        <w:spacing w:after="60" w:before="0"/>
      </w:pPr>
      <w:r>
        <w:t>Administración de Oracle Retail como sistema de facturación de la red, con soporte a las áreas que dependen de él.</w:t>
      </w:r>
    </w:p>
    <w:p>
      <w:pPr>
        <w:pStyle w:val="Cargo"/>
        <w:spacing w:before="140" w:after="0"/>
      </w:pPr>
      <w:r>
        <w:t>Coordinador de Soporte de TI</w:t>
      </w:r>
    </w:p>
    <w:p>
      <w:pPr>
        <w:pStyle w:val="Meta"/>
        <w:spacing w:after="60"/>
      </w:pPr>
      <w:r>
        <w:t>Farmahorro · Caracas · Mar. 2018 – Oct. 2021</w:t>
      </w:r>
    </w:p>
    <w:p>
      <w:pPr>
        <w:pStyle w:val="ListBullet"/>
        <w:spacing w:after="60" w:before="0"/>
      </w:pPr>
      <w:r>
        <w:t>Coordinación de un equipo de soporte técnico con gestión de turnos para asegurar cobertura en todas las operaciones.</w:t>
      </w:r>
    </w:p>
    <w:p>
      <w:pPr>
        <w:pStyle w:val="ListBullet"/>
        <w:spacing w:after="60" w:before="0"/>
      </w:pPr>
      <w:r>
        <w:t>Administración de herramientas de tickets e inventario de activos para una mejor gestión de incidentes y solicitudes.</w:t>
      </w:r>
    </w:p>
    <w:p>
      <w:pPr>
        <w:pStyle w:val="ListBullet"/>
        <w:spacing w:after="60" w:before="0"/>
      </w:pPr>
      <w:r>
        <w:t>Implementación de un nuevo sistema antivirus, liderando el proyecto desde la planificación hasta la ejecución.</w:t>
      </w:r>
    </w:p>
    <w:p>
      <w:pPr>
        <w:pStyle w:val="ListBullet"/>
        <w:spacing w:after="60" w:before="0"/>
      </w:pPr>
      <w:r>
        <w:t>Gestión de Active Directory y Fortinet para una infraestructura de TI segura y eficiente.</w:t>
      </w:r>
    </w:p>
    <w:p>
      <w:pPr>
        <w:pStyle w:val="Cargo"/>
        <w:spacing w:before="140" w:after="0"/>
      </w:pPr>
      <w:r>
        <w:t>Analista de Soporte IT</w:t>
      </w:r>
    </w:p>
    <w:p>
      <w:pPr>
        <w:pStyle w:val="Meta"/>
        <w:spacing w:after="60"/>
      </w:pPr>
      <w:r>
        <w:t>Farmahorro · Caracas · Dic. 2017 – Mar. 2018</w:t>
      </w:r>
    </w:p>
    <w:p>
      <w:pPr>
        <w:pStyle w:val="ListBullet"/>
        <w:spacing w:after="60" w:before="0"/>
      </w:pPr>
      <w:r>
        <w:t>Continuidad del servicio en diversas sedes mediante soporte remoto y mantenimiento preventivo y correctivo.</w:t>
      </w:r>
    </w:p>
    <w:p>
      <w:pPr>
        <w:pStyle w:val="ListBullet"/>
        <w:spacing w:after="60" w:before="0"/>
      </w:pPr>
      <w:r>
        <w:t>Gestión de incidentes y solicitudes con cumplimiento de SLA y alto nivel de satisfacción del cliente.</w:t>
      </w:r>
    </w:p>
    <w:p>
      <w:pPr>
        <w:pStyle w:val="Cargo"/>
        <w:spacing w:before="140" w:after="0"/>
      </w:pPr>
      <w:r>
        <w:t>Pasante</w:t>
      </w:r>
    </w:p>
    <w:p>
      <w:pPr>
        <w:pStyle w:val="Meta"/>
        <w:spacing w:after="60"/>
      </w:pPr>
      <w:r>
        <w:t>UNDSS (Naciones Unidas) · Caracas · May. 2017 – Ago. 2017</w:t>
      </w:r>
    </w:p>
    <w:p>
      <w:pPr>
        <w:pStyle w:val="ListBullet"/>
        <w:spacing w:after="60" w:before="0"/>
      </w:pPr>
      <w:r>
        <w:t>Desarrollo de un sistema de gestión en Access para el registro y control de vencimientos de carnets de organizaciones de la ONU.</w:t>
      </w:r>
    </w:p>
    <w:p>
      <w:pPr>
        <w:pStyle w:val="ListBullet"/>
        <w:spacing w:after="60" w:before="0"/>
      </w:pPr>
      <w:r>
        <w:t>Actualización del sitio web del PNUD en WordPress.</w:t>
      </w:r>
    </w:p>
    <w:p>
      <w:r>
        <w:br w:type="page"/>
      </w:r>
    </w:p>
    <w:p>
      <w:pPr>
        <w:pStyle w:val="Seccion"/>
        <w:spacing w:before="240" w:after="80"/>
      </w:pPr>
      <w:r>
        <w:t>PROYECTOS DESTACADOS</w:t>
      </w:r>
    </w:p>
    <w:p>
      <w:pPr>
        <w:pStyle w:val="Cargo"/>
        <w:spacing w:before="140" w:after="0"/>
      </w:pPr>
      <w:r>
        <w:t>Reconversión monetaria y migración de facturación · Farmahorro</w:t>
      </w:r>
    </w:p>
    <w:p>
      <w:pPr>
        <w:pStyle w:val="ListBullet"/>
        <w:spacing w:after="60" w:before="0"/>
      </w:pPr>
      <w:r>
        <w:t>Reconversión del sistema de facturación de ~90 farmacias en Oracle Retail, incluyendo impresoras fiscales y sistema completo.</w:t>
      </w:r>
    </w:p>
    <w:p>
      <w:pPr>
        <w:pStyle w:val="ListBullet"/>
        <w:spacing w:after="60" w:before="0"/>
      </w:pPr>
      <w:r>
        <w:t>Migración progresiva de 60 farmacias de Oracle a Simplit en una semana: servidor, estaciones de trabajo, capacitación y manuales.</w:t>
      </w:r>
    </w:p>
    <w:p>
      <w:pPr>
        <w:pStyle w:val="Cargo"/>
        <w:spacing w:before="140" w:after="0"/>
      </w:pPr>
      <w:r>
        <w:t>Apertura de nuevo cine y migración de correo · CINEX</w:t>
      </w:r>
    </w:p>
    <w:p>
      <w:pPr>
        <w:pStyle w:val="ListBullet"/>
        <w:spacing w:after="60" w:before="0"/>
      </w:pPr>
      <w:r>
        <w:t>Gestión del presupuesto tecnológico completo de un cine de 4 salas VIP: estándares, servicio VIP (runner), medios digitales, puntos de venta, equipos gerenciales y telecomunicaciones WiFi.</w:t>
      </w:r>
    </w:p>
    <w:p>
      <w:pPr>
        <w:pStyle w:val="ListBullet"/>
        <w:spacing w:after="60" w:before="0"/>
      </w:pPr>
      <w:r>
        <w:t>Migración de ~200 cuentas de correo a Google Workspace en un fin de semana, sin caída del servicio, con capacitación y manuales.</w:t>
      </w:r>
    </w:p>
    <w:p>
      <w:pPr>
        <w:pStyle w:val="Cargo"/>
        <w:spacing w:before="140" w:after="0"/>
      </w:pPr>
      <w:r>
        <w:t>Diseño de producto digital</w:t>
      </w:r>
    </w:p>
    <w:p>
      <w:pPr>
        <w:pStyle w:val="ListBullet"/>
        <w:spacing w:after="60" w:before="0"/>
      </w:pPr>
      <w:r>
        <w:t>Diseño de la aplicación CINEX (iOS / Android): evaluación del flujo funcional, operatividad y diseño junto al equipo de desarrollo.</w:t>
      </w:r>
    </w:p>
    <w:p>
      <w:pPr>
        <w:pStyle w:val="ListBullet"/>
        <w:spacing w:after="60" w:before="0"/>
      </w:pPr>
      <w:r>
        <w:t>Diseño de la aplicación de fuerza de ventas de Metropolitan.</w:t>
      </w:r>
    </w:p>
    <w:p>
      <w:pPr>
        <w:pStyle w:val="ListBullet"/>
        <w:spacing w:after="60" w:before="0"/>
      </w:pPr>
      <w:r>
        <w:t>Rediseño de las páginas web de CINEX y Liveri, y diseño visual de los medios digitales del cine.</w:t>
      </w:r>
    </w:p>
    <w:p>
      <w:pPr>
        <w:pStyle w:val="ListBullet"/>
        <w:spacing w:after="60" w:before="0"/>
      </w:pPr>
      <w:r>
        <w:t>Diseño del servicio VIP en sala (runner), en sus dimensiones funcional y visual.</w:t>
      </w:r>
    </w:p>
    <w:p>
      <w:pPr>
        <w:pStyle w:val="ListBullet"/>
        <w:spacing w:after="60" w:before="0"/>
      </w:pPr>
      <w:r>
        <w:t>Prototipos de venta de entradas con selección de asientos y emisión de QR individual por boleto.</w:t>
      </w:r>
    </w:p>
    <w:p>
      <w:pPr>
        <w:pStyle w:val="Seccion"/>
        <w:spacing w:before="240" w:after="80"/>
      </w:pPr>
      <w:r>
        <w:t>COMPETENCIAS</w:t>
      </w:r>
    </w:p>
    <w:p>
      <w:pPr>
        <w:pStyle w:val="Cargo"/>
        <w:spacing w:before="140" w:after="0"/>
      </w:pPr>
      <w:r>
        <w:t>DATOS Y ANALÍTICA</w:t>
      </w:r>
    </w:p>
    <w:p>
      <w:pPr>
        <w:pStyle w:val="ListBullet"/>
        <w:spacing w:after="60" w:before="0"/>
      </w:pPr>
      <w:r>
        <w:t>Power BI · Looker Studio · SQL · modelado de datos · KPIs · dashboards ejecutivos · BI</w:t>
      </w:r>
    </w:p>
    <w:p>
      <w:pPr>
        <w:pStyle w:val="Cargo"/>
        <w:spacing w:before="140" w:after="0"/>
      </w:pPr>
      <w:r>
        <w:t>SERVICIOS IT (ITSM)</w:t>
      </w:r>
    </w:p>
    <w:p>
      <w:pPr>
        <w:pStyle w:val="ListBullet"/>
        <w:spacing w:after="60" w:before="0"/>
      </w:pPr>
      <w:r>
        <w:t>GLPI · Freshservice · gestión de tickets e incidentes · SLA · Help Desk a Service Desk · mejora continua</w:t>
      </w:r>
    </w:p>
    <w:p>
      <w:pPr>
        <w:pStyle w:val="Cargo"/>
        <w:spacing w:before="140" w:after="0"/>
      </w:pPr>
      <w:r>
        <w:t>CONTINUIDAD OPERATIVA</w:t>
      </w:r>
    </w:p>
    <w:p>
      <w:pPr>
        <w:pStyle w:val="ListBullet"/>
        <w:spacing w:after="60" w:before="0"/>
      </w:pPr>
      <w:r>
        <w:t>Inventarios y obsolescencia de equipos · presupuestos OPEX / CAPEX · monitoreo de turno nocturno · levantamientos funcionales</w:t>
      </w:r>
    </w:p>
    <w:p>
      <w:pPr>
        <w:pStyle w:val="Cargo"/>
        <w:spacing w:before="140" w:after="0"/>
      </w:pPr>
      <w:r>
        <w:t>PLATAFORMAS</w:t>
      </w:r>
    </w:p>
    <w:p>
      <w:pPr>
        <w:pStyle w:val="ListBullet"/>
        <w:spacing w:after="60" w:before="0"/>
      </w:pPr>
      <w:r>
        <w:t>Microsoft 365 (uso y administración) · Azure · Google Workspace · SAP Business One · Active Directory · Fortinet · Oracle Retail · Simplit</w:t>
      </w:r>
    </w:p>
    <w:p>
      <w:pPr>
        <w:pStyle w:val="Cargo"/>
        <w:spacing w:before="140" w:after="0"/>
      </w:pPr>
      <w:r>
        <w:t>SECTORES</w:t>
      </w:r>
    </w:p>
    <w:p>
      <w:pPr>
        <w:pStyle w:val="ListBullet"/>
        <w:spacing w:after="60" w:before="0"/>
      </w:pPr>
      <w:r>
        <w:t>VistaCinema (Head Office / Back Office) · Oracle Retail (facturación) · Megasoft · puntos de venta · impresoras fiscales · salas de cine · retail farmacéutico</w:t>
      </w:r>
    </w:p>
    <w:p>
      <w:pPr>
        <w:pStyle w:val="Cargo"/>
        <w:spacing w:before="140" w:after="0"/>
      </w:pPr>
      <w:r>
        <w:t>PRODUCTO DIGITAL</w:t>
      </w:r>
    </w:p>
    <w:p>
      <w:pPr>
        <w:pStyle w:val="ListBullet"/>
        <w:spacing w:after="60" w:before="0"/>
      </w:pPr>
      <w:r>
        <w:t>Diseño UX / UI · pruebas QA · prototipado web y móvil · rediseño de sitios · medios digitales</w:t>
      </w:r>
    </w:p>
    <w:p>
      <w:pPr>
        <w:pStyle w:val="Cargo"/>
        <w:spacing w:before="140" w:after="0"/>
      </w:pPr>
      <w:r>
        <w:t>GESTIÓN</w:t>
      </w:r>
    </w:p>
    <w:p>
      <w:pPr>
        <w:pStyle w:val="ListBullet"/>
        <w:spacing w:after="60" w:before="0"/>
      </w:pPr>
      <w:r>
        <w:t>Proyectos · proveedores · presupuestos · aperturas y remodelaciones · migraciones · equipos multidisciplinarios</w:t>
      </w:r>
    </w:p>
    <w:p>
      <w:pPr>
        <w:pStyle w:val="Cargo"/>
        <w:spacing w:before="140" w:after="0"/>
      </w:pPr>
      <w:r>
        <w:t>IA Y AUTOMATIZACIÓN</w:t>
      </w:r>
    </w:p>
    <w:p>
      <w:pPr>
        <w:pStyle w:val="ListBullet"/>
        <w:spacing w:after="60" w:before="0"/>
      </w:pPr>
      <w:r>
        <w:t>Inteligencia artificial aplicada a productividad · automatización de procesos · asistentes IA</w:t>
      </w:r>
    </w:p>
    <w:p>
      <w:pPr>
        <w:pStyle w:val="Seccion"/>
        <w:spacing w:before="240" w:after="80"/>
      </w:pPr>
      <w:r>
        <w:t>FORMACIÓN</w:t>
      </w:r>
    </w:p>
    <w:p>
      <w:pPr>
        <w:pStyle w:val="ListBullet"/>
        <w:spacing w:after="60" w:before="0"/>
      </w:pPr>
      <w:r>
        <w:t>TSU en Ingeniería Informática — Instituto Universitario de Tecnología de Administración Industrial (IUTA), Venezuela · 2014 – 2017.</w:t>
      </w:r>
    </w:p>
    <w:p>
      <w:pPr>
        <w:pStyle w:val="ListBullet"/>
        <w:spacing w:after="60" w:before="0"/>
      </w:pPr>
      <w:r>
        <w:t>Curso Superior Universitario en Inteligencia Artificial, Transformación Digital y Automatización Empresarial — España · feb. 2027 – ene. 2028.</w:t>
      </w:r>
    </w:p>
    <w:p>
      <w:pPr>
        <w:pStyle w:val="Seccion"/>
        <w:spacing w:before="240" w:after="80"/>
      </w:pPr>
      <w:r>
        <w:t>CERTIFICACIONES</w:t>
      </w:r>
    </w:p>
    <w:p>
      <w:pPr>
        <w:pStyle w:val="ListBullet"/>
        <w:spacing w:after="60" w:before="0"/>
      </w:pPr>
      <w:r>
        <w:t>Autoridad, Dirección y Liderazgo — Universidad Nacional Autónoma de México (Coursera), 2024.</w:t>
      </w:r>
    </w:p>
    <w:p>
      <w:pPr>
        <w:pStyle w:val="ListBullet"/>
        <w:spacing w:after="60" w:before="0"/>
      </w:pPr>
      <w:r>
        <w:t>Google: Inteligencia Artificial y Productividad — Santander Open Academy, 2024.</w:t>
      </w:r>
    </w:p>
    <w:p>
      <w:pPr>
        <w:pStyle w:val="ListBullet"/>
        <w:spacing w:after="60" w:before="0"/>
      </w:pPr>
      <w:r>
        <w:t>Introducción a la Ciencia de Datos — Santander Open Academy, 2024.</w:t>
      </w:r>
    </w:p>
    <w:p>
      <w:pPr>
        <w:pStyle w:val="ListBullet"/>
        <w:spacing w:after="60" w:before="0"/>
      </w:pPr>
      <w:r>
        <w:t>Introduction to Data Science — Cisco, 2024.</w:t>
      </w:r>
    </w:p>
    <w:p>
      <w:pPr>
        <w:pStyle w:val="ListBullet"/>
        <w:spacing w:after="60" w:before="0"/>
      </w:pPr>
      <w:r>
        <w:t>Aprende Data Science: Conceptos Básicos — LinkedIn Learning, 2022.</w:t>
      </w:r>
    </w:p>
    <w:p>
      <w:pPr>
        <w:pStyle w:val="ListBullet"/>
        <w:spacing w:after="60" w:before="0"/>
      </w:pPr>
      <w:r>
        <w:t>Fundamentos del Servicio de Atención al Cliente — LinkedIn Learning, 2021.</w:t>
      </w:r>
    </w:p>
    <w:p>
      <w:pPr>
        <w:pStyle w:val="ListBullet"/>
        <w:spacing w:after="60" w:before="0"/>
      </w:pPr>
      <w:r>
        <w:t>Protege tu Negocio: Ciberseguridad en el Teletrabajo — Google Activate, 2021.</w:t>
      </w:r>
    </w:p>
    <w:p>
      <w:pPr>
        <w:pStyle w:val="ListBullet"/>
        <w:spacing w:after="60" w:before="0"/>
      </w:pPr>
      <w:r>
        <w:t>Competencias Digitales para Profesionales — Google Activate, 2021.</w:t>
      </w:r>
    </w:p>
    <w:p>
      <w:pPr>
        <w:pStyle w:val="ListBullet"/>
        <w:spacing w:after="60" w:before="0"/>
      </w:pPr>
      <w:r>
        <w:t>Introducción a la Ciberseguridad — Cisco Networking Academy, 2020.</w:t>
      </w:r>
    </w:p>
    <w:p>
      <w:pPr>
        <w:pStyle w:val="ListBullet"/>
        <w:spacing w:after="60" w:before="0"/>
      </w:pPr>
      <w:r>
        <w:t>Introducción a IoT — Cisco Networking Academy, 2020.</w:t>
      </w:r>
    </w:p>
    <w:p>
      <w:pPr>
        <w:pStyle w:val="Seccion"/>
        <w:spacing w:before="240" w:after="80"/>
      </w:pPr>
      <w:r>
        <w:t>IDIOMAS</w:t>
      </w:r>
    </w:p>
    <w:p>
      <w:pPr>
        <w:pStyle w:val="ListBullet"/>
        <w:spacing w:after="60" w:before="0"/>
      </w:pPr>
      <w:r>
        <w:t>Español — Nativo.</w:t>
      </w:r>
    </w:p>
    <w:p>
      <w:pPr>
        <w:pStyle w:val="ListBullet"/>
        <w:spacing w:after="60" w:before="0"/>
      </w:pPr>
      <w:r>
        <w:t>Inglés técnico (nivel técnico de sistemas): lectura de documentación, manuales y código.</w:t>
      </w:r>
    </w:p>
    <w:sectPr w:rsidR="00FC693F" w:rsidRPr="0006063C" w:rsidSect="00034616">
      <w:pgSz w:w="11906" w:h="16838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mbre">
    <w:name w:val="Nombre"/>
    <w:basedOn w:val="Normal"/>
    <w:rPr>
      <w:rFonts w:ascii="Calibri" w:hAnsi="Calibri"/>
      <w:b/>
      <w:color w:val="0F2B46"/>
      <w:sz w:val="40"/>
    </w:rPr>
  </w:style>
  <w:style w:type="paragraph" w:customStyle="1" w:styleId="Subtitulo">
    <w:name w:val="Subtitulo"/>
    <w:basedOn w:val="Normal"/>
    <w:rPr>
      <w:rFonts w:ascii="Calibri" w:hAnsi="Calibri"/>
      <w:color w:val="2E74B5"/>
      <w:sz w:val="23"/>
    </w:rPr>
  </w:style>
  <w:style w:type="paragraph" w:customStyle="1" w:styleId="Contacto">
    <w:name w:val="Contacto"/>
    <w:basedOn w:val="Normal"/>
    <w:rPr>
      <w:rFonts w:ascii="Calibri" w:hAnsi="Calibri"/>
      <w:color w:val="595959"/>
      <w:sz w:val="19"/>
    </w:rPr>
  </w:style>
  <w:style w:type="paragraph" w:customStyle="1" w:styleId="Seccion">
    <w:name w:val="Seccion"/>
    <w:basedOn w:val="Normal"/>
    <w:rPr>
      <w:rFonts w:ascii="Calibri" w:hAnsi="Calibri"/>
      <w:b/>
      <w:color w:val="0F2B46"/>
      <w:sz w:val="26"/>
    </w:rPr>
  </w:style>
  <w:style w:type="paragraph" w:customStyle="1" w:styleId="Cargo">
    <w:name w:val="Cargo"/>
    <w:basedOn w:val="Normal"/>
    <w:rPr>
      <w:rFonts w:ascii="Calibri" w:hAnsi="Calibri"/>
      <w:b/>
      <w:color w:val="1F1F1F"/>
      <w:sz w:val="21"/>
    </w:rPr>
  </w:style>
  <w:style w:type="paragraph" w:customStyle="1" w:styleId="Meta">
    <w:name w:val="Meta"/>
    <w:basedOn w:val="Normal"/>
    <w:rPr>
      <w:rFonts w:ascii="Calibri" w:hAnsi="Calibri"/>
      <w:i/>
      <w:color w:val="595959"/>
      <w:sz w:val="19"/>
    </w:rPr>
  </w:style>
  <w:style w:type="paragraph" w:customStyle="1" w:styleId="Cuerpo">
    <w:name w:val="Cuerpo"/>
    <w:basedOn w:val="Normal"/>
    <w:rPr>
      <w:rFonts w:ascii="Calibri" w:hAnsi="Calibri"/>
      <w:color w:val="1F1F1F"/>
      <w:sz w:val="21"/>
    </w:rPr>
  </w:style>
  <w:style w:type="paragraph" w:customStyle="1" w:styleId="Bullet">
    <w:name w:val="Bullet"/>
    <w:basedOn w:val="Normal"/>
    <w:rPr>
      <w:rFonts w:ascii="Calibri" w:hAnsi="Calibri"/>
      <w:color w:val="1F1F1F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